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85" w:rsidRPr="00F610FC" w:rsidRDefault="00756D85" w:rsidP="00756D85">
      <w:pPr>
        <w:spacing w:line="40" w:lineRule="atLeast"/>
        <w:rPr>
          <w:rFonts w:ascii="Calibri" w:eastAsia="新細明體" w:hAnsi="Calibri" w:cs="Times New Roman"/>
          <w:b/>
          <w:sz w:val="32"/>
          <w:szCs w:val="32"/>
        </w:rPr>
      </w:pPr>
      <w:r w:rsidRPr="00F610FC">
        <w:rPr>
          <w:rFonts w:ascii="Calibri" w:eastAsia="新細明體" w:hAnsi="Calibri" w:cs="Times New Roman" w:hint="eastAsia"/>
          <w:b/>
          <w:sz w:val="32"/>
          <w:szCs w:val="32"/>
          <w:bdr w:val="single" w:sz="4" w:space="0" w:color="auto"/>
        </w:rPr>
        <w:t>附件</w:t>
      </w:r>
      <w:r>
        <w:rPr>
          <w:rFonts w:ascii="Calibri" w:eastAsia="新細明體" w:hAnsi="Calibri" w:cs="Times New Roman" w:hint="eastAsia"/>
          <w:b/>
          <w:sz w:val="32"/>
          <w:szCs w:val="32"/>
          <w:bdr w:val="single" w:sz="4" w:space="0" w:color="auto"/>
        </w:rPr>
        <w:t>一</w:t>
      </w:r>
      <w:r w:rsidRPr="00F610FC">
        <w:rPr>
          <w:rFonts w:ascii="Calibri" w:eastAsia="新細明體" w:hAnsi="Calibri" w:cs="Times New Roman" w:hint="eastAsia"/>
          <w:b/>
          <w:sz w:val="32"/>
          <w:szCs w:val="32"/>
        </w:rPr>
        <w:t>：「</w:t>
      </w:r>
      <w:r w:rsidRPr="00F610FC">
        <w:rPr>
          <w:rFonts w:ascii="Calibri" w:eastAsia="新細明體" w:hAnsi="Calibri" w:cs="Times New Roman" w:hint="eastAsia"/>
          <w:b/>
          <w:sz w:val="32"/>
          <w:szCs w:val="32"/>
        </w:rPr>
        <w:t>2017</w:t>
      </w:r>
      <w:r w:rsidRPr="00F610FC">
        <w:rPr>
          <w:rFonts w:ascii="Calibri" w:eastAsia="新細明體" w:hAnsi="Calibri" w:cs="Times New Roman" w:hint="eastAsia"/>
          <w:b/>
          <w:sz w:val="32"/>
          <w:szCs w:val="32"/>
        </w:rPr>
        <w:t>南台灣廢核反</w:t>
      </w:r>
      <w:bookmarkStart w:id="0" w:name="_GoBack"/>
      <w:bookmarkEnd w:id="0"/>
      <w:r w:rsidRPr="00F610FC">
        <w:rPr>
          <w:rFonts w:ascii="Calibri" w:eastAsia="新細明體" w:hAnsi="Calibri" w:cs="Times New Roman" w:hint="eastAsia"/>
          <w:b/>
          <w:sz w:val="32"/>
          <w:szCs w:val="32"/>
        </w:rPr>
        <w:t>空污遊行」主訴求</w:t>
      </w:r>
    </w:p>
    <w:p w:rsidR="00756D85" w:rsidRPr="00F610FC" w:rsidRDefault="00756D85" w:rsidP="00756D85">
      <w:pPr>
        <w:spacing w:line="40" w:lineRule="atLeast"/>
        <w:ind w:left="1701" w:hanging="709"/>
        <w:jc w:val="right"/>
        <w:rPr>
          <w:rFonts w:ascii="Calibri" w:eastAsia="新細明體" w:hAnsi="Calibri" w:cs="Times New Roman"/>
        </w:rPr>
      </w:pPr>
      <w:r w:rsidRPr="00F610FC">
        <w:rPr>
          <w:rFonts w:ascii="Calibri" w:eastAsia="新細明體" w:hAnsi="Calibri" w:cs="Times New Roman" w:hint="eastAsia"/>
        </w:rPr>
        <w:t>文／南台灣廢核行動聯盟</w:t>
      </w:r>
    </w:p>
    <w:p w:rsidR="00756D85" w:rsidRPr="00F610FC" w:rsidRDefault="00756D85" w:rsidP="0026037A">
      <w:pPr>
        <w:spacing w:beforeLines="30" w:afterLines="30" w:line="40" w:lineRule="atLeast"/>
        <w:rPr>
          <w:rFonts w:ascii="Calibri" w:eastAsia="新細明體" w:hAnsi="Calibri" w:cs="Times New Roman"/>
          <w:b/>
        </w:rPr>
      </w:pPr>
      <w:r w:rsidRPr="00F610FC">
        <w:rPr>
          <w:rFonts w:ascii="Calibri" w:eastAsia="新細明體" w:hAnsi="Calibri" w:cs="Times New Roman" w:hint="eastAsia"/>
          <w:b/>
          <w:highlight w:val="yellow"/>
        </w:rPr>
        <w:t>一、核三廠</w:t>
      </w:r>
      <w:proofErr w:type="gramStart"/>
      <w:r w:rsidRPr="00F610FC">
        <w:rPr>
          <w:rFonts w:ascii="Calibri" w:eastAsia="新細明體" w:hAnsi="Calibri" w:cs="Times New Roman" w:hint="eastAsia"/>
          <w:b/>
          <w:highlight w:val="yellow"/>
        </w:rPr>
        <w:t>不</w:t>
      </w:r>
      <w:proofErr w:type="gramEnd"/>
      <w:r w:rsidRPr="00F610FC">
        <w:rPr>
          <w:rFonts w:ascii="Calibri" w:eastAsia="新細明體" w:hAnsi="Calibri" w:cs="Times New Roman" w:hint="eastAsia"/>
          <w:b/>
          <w:highlight w:val="yellow"/>
        </w:rPr>
        <w:t>延役，核廢料不擺爛</w:t>
      </w:r>
    </w:p>
    <w:tbl>
      <w:tblPr>
        <w:tblW w:w="9843" w:type="dxa"/>
        <w:jc w:val="center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1"/>
        <w:gridCol w:w="6822"/>
      </w:tblGrid>
      <w:tr w:rsidR="00756D85" w:rsidRPr="00F610FC" w:rsidTr="00EC458B">
        <w:trPr>
          <w:jc w:val="center"/>
        </w:trPr>
        <w:tc>
          <w:tcPr>
            <w:tcW w:w="3021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1.核三不得延役，儘速除役</w:t>
            </w:r>
          </w:p>
        </w:tc>
        <w:tc>
          <w:tcPr>
            <w:tcW w:w="6822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核三廠是全台唯一蓋在活動斷層帶上的核電廠，核島區與恆春斷層僅有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800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公尺，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32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年來發生超過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32</w:t>
            </w: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起異常或違規事件，出包頻率是三座核電廠中最高，應儘速除役。</w:t>
            </w:r>
          </w:p>
        </w:tc>
      </w:tr>
      <w:tr w:rsidR="00756D85" w:rsidRPr="00F610FC" w:rsidTr="00EC458B">
        <w:trPr>
          <w:jc w:val="center"/>
        </w:trPr>
        <w:tc>
          <w:tcPr>
            <w:tcW w:w="3021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jc w:val="both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2.</w:t>
            </w:r>
            <w:r w:rsidRPr="00F610FC">
              <w:rPr>
                <w:rFonts w:ascii="Calibri" w:eastAsia="新細明體" w:hAnsi="Calibri" w:cs="Times New Roman"/>
                <w:b/>
                <w:bCs/>
                <w:kern w:val="0"/>
                <w:sz w:val="20"/>
                <w:szCs w:val="20"/>
              </w:rPr>
              <w:t> </w:t>
            </w: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核廢料處置應有可行時程表</w:t>
            </w:r>
          </w:p>
        </w:tc>
        <w:tc>
          <w:tcPr>
            <w:tcW w:w="6822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開啟社會對話，共同擬定核廢料處置之可行時程表。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加速完成並公開核廢料處置相關之環境與科學調查資料。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檢討及增訂核廢料處置、管理與選址法規，納入公民參與及監督機制。</w:t>
            </w:r>
          </w:p>
        </w:tc>
      </w:tr>
    </w:tbl>
    <w:p w:rsidR="00756D85" w:rsidRPr="00F610FC" w:rsidRDefault="00756D85" w:rsidP="0026037A">
      <w:pPr>
        <w:spacing w:beforeLines="30" w:afterLines="30" w:line="40" w:lineRule="atLeast"/>
        <w:rPr>
          <w:rFonts w:ascii="Calibri" w:eastAsia="新細明體" w:hAnsi="Calibri" w:cs="Times New Roman"/>
          <w:b/>
        </w:rPr>
      </w:pPr>
      <w:r w:rsidRPr="00F610FC">
        <w:rPr>
          <w:rFonts w:ascii="Calibri" w:eastAsia="新細明體" w:hAnsi="Calibri" w:cs="Times New Roman" w:hint="eastAsia"/>
          <w:b/>
          <w:highlight w:val="yellow"/>
        </w:rPr>
        <w:t>二、節電</w:t>
      </w:r>
      <w:proofErr w:type="gramStart"/>
      <w:r w:rsidRPr="00F610FC">
        <w:rPr>
          <w:rFonts w:ascii="Calibri" w:eastAsia="新細明體" w:hAnsi="Calibri" w:cs="Times New Roman" w:hint="eastAsia"/>
          <w:b/>
          <w:highlight w:val="yellow"/>
        </w:rPr>
        <w:t>加綠電</w:t>
      </w:r>
      <w:proofErr w:type="gramEnd"/>
      <w:r w:rsidRPr="00F610FC">
        <w:rPr>
          <w:rFonts w:ascii="Calibri" w:eastAsia="新細明體" w:hAnsi="Calibri" w:cs="Times New Roman" w:hint="eastAsia"/>
          <w:b/>
          <w:highlight w:val="yellow"/>
        </w:rPr>
        <w:t>，</w:t>
      </w:r>
      <w:proofErr w:type="gramStart"/>
      <w:r w:rsidRPr="00F610FC">
        <w:rPr>
          <w:rFonts w:ascii="Calibri" w:eastAsia="新細明體" w:hAnsi="Calibri" w:cs="Times New Roman" w:hint="eastAsia"/>
          <w:b/>
          <w:highlight w:val="yellow"/>
        </w:rPr>
        <w:t>低碳又非</w:t>
      </w:r>
      <w:proofErr w:type="gramEnd"/>
      <w:r w:rsidRPr="00F610FC">
        <w:rPr>
          <w:rFonts w:ascii="Calibri" w:eastAsia="新細明體" w:hAnsi="Calibri" w:cs="Times New Roman" w:hint="eastAsia"/>
          <w:b/>
          <w:highlight w:val="yellow"/>
        </w:rPr>
        <w:t>核</w:t>
      </w:r>
    </w:p>
    <w:tbl>
      <w:tblPr>
        <w:tblW w:w="9993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6945"/>
      </w:tblGrid>
      <w:tr w:rsidR="00756D85" w:rsidRPr="00F610FC" w:rsidTr="00EC458B">
        <w:trPr>
          <w:jc w:val="center"/>
        </w:trPr>
        <w:tc>
          <w:tcPr>
            <w:tcW w:w="3048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3.</w:t>
            </w:r>
            <w:proofErr w:type="gramStart"/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節電訂目標</w:t>
            </w:r>
            <w:proofErr w:type="gramEnd"/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，</w:t>
            </w:r>
            <w:proofErr w:type="gramStart"/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用電負成長</w:t>
            </w:r>
            <w:proofErr w:type="gramEnd"/>
          </w:p>
        </w:tc>
        <w:tc>
          <w:tcPr>
            <w:tcW w:w="6945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盤點各級行政區、部門與產業之節電潛力，提出差別但有責任的節電目標與策略藍圖。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制定建築、工業、運輸之能源效率標準。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1"/>
              </w:numPr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調整電價、公佈能源使用資料、提供財稅減免，激勵節能動力。</w:t>
            </w:r>
          </w:p>
        </w:tc>
      </w:tr>
      <w:tr w:rsidR="00756D85" w:rsidRPr="00F610FC" w:rsidTr="00EC458B">
        <w:trPr>
          <w:jc w:val="center"/>
        </w:trPr>
        <w:tc>
          <w:tcPr>
            <w:tcW w:w="3048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4. 2025年再生能源達20%要有具體方案</w:t>
            </w:r>
          </w:p>
        </w:tc>
        <w:tc>
          <w:tcPr>
            <w:tcW w:w="6945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2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大型再生能源開發計畫須通盤考量國土規劃與環境保護。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2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加速推廣分散式再生能源，鼓勵社區及民眾</w:t>
            </w:r>
            <w:proofErr w:type="gramStart"/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投入創能產業</w:t>
            </w:r>
            <w:proofErr w:type="gramEnd"/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2"/>
              </w:numPr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規範用電大戶使用再生能源比率，加速</w:t>
            </w:r>
            <w:proofErr w:type="gramStart"/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佈</w:t>
            </w:r>
            <w:proofErr w:type="gramEnd"/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建智慧電網與儲能設備。</w:t>
            </w:r>
          </w:p>
        </w:tc>
      </w:tr>
      <w:tr w:rsidR="00756D85" w:rsidRPr="00F610FC" w:rsidTr="00EC458B">
        <w:trPr>
          <w:jc w:val="center"/>
        </w:trPr>
        <w:tc>
          <w:tcPr>
            <w:tcW w:w="3048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5.課徵能源稅，污染者付費</w:t>
            </w:r>
          </w:p>
        </w:tc>
        <w:tc>
          <w:tcPr>
            <w:tcW w:w="6945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3"/>
              </w:numPr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在稅收中立原則下，課徵能源稅、移除化石燃料補貼，真實反映火力電廠造成的空氣污染及健康危害，創造再生能源的健全發展環境，提高節能誘因。</w:t>
            </w:r>
          </w:p>
        </w:tc>
      </w:tr>
      <w:tr w:rsidR="00756D85" w:rsidRPr="00F610FC" w:rsidTr="00EC458B">
        <w:trPr>
          <w:jc w:val="center"/>
        </w:trPr>
        <w:tc>
          <w:tcPr>
            <w:tcW w:w="3048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6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.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從</w:t>
            </w:r>
            <w:proofErr w:type="gramStart"/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減煤邁向無煤</w:t>
            </w:r>
            <w:proofErr w:type="gramEnd"/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家園</w:t>
            </w:r>
          </w:p>
        </w:tc>
        <w:tc>
          <w:tcPr>
            <w:tcW w:w="6945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4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台電電廠、中鋼高爐、台塑汽電共生等污染大戶，應立即降低燃煤污染。</w:t>
            </w:r>
          </w:p>
        </w:tc>
      </w:tr>
    </w:tbl>
    <w:p w:rsidR="00756D85" w:rsidRPr="00F610FC" w:rsidRDefault="00756D85" w:rsidP="0026037A">
      <w:pPr>
        <w:spacing w:beforeLines="30" w:afterLines="30" w:line="40" w:lineRule="atLeast"/>
        <w:rPr>
          <w:rFonts w:ascii="Calibri" w:eastAsia="新細明體" w:hAnsi="Calibri" w:cs="Times New Roman"/>
          <w:b/>
        </w:rPr>
      </w:pPr>
      <w:r w:rsidRPr="00F610FC">
        <w:rPr>
          <w:rFonts w:ascii="Calibri" w:eastAsia="新細明體" w:hAnsi="Calibri" w:cs="Times New Roman" w:hint="eastAsia"/>
          <w:b/>
          <w:highlight w:val="yellow"/>
        </w:rPr>
        <w:t>三、強化空污管制，限縮污染產業</w:t>
      </w:r>
    </w:p>
    <w:tbl>
      <w:tblPr>
        <w:tblW w:w="9994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7229"/>
      </w:tblGrid>
      <w:tr w:rsidR="00756D85" w:rsidRPr="00F610FC" w:rsidTr="00EC458B">
        <w:trPr>
          <w:jc w:val="center"/>
        </w:trPr>
        <w:tc>
          <w:tcPr>
            <w:tcW w:w="2765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7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.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強化空污</w:t>
            </w:r>
            <w:r w:rsidRPr="00F610FC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季節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因應對策</w:t>
            </w:r>
          </w:p>
        </w:tc>
        <w:tc>
          <w:tcPr>
            <w:tcW w:w="7229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3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提高空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污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季節（10月-3月）固定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污染源空污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費。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3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下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修空品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嚴重惡化緊急防制辦法之啟動標準，拒絕PM2.5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紫爆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。</w:t>
            </w:r>
          </w:p>
          <w:p w:rsidR="00756D85" w:rsidRPr="00F610FC" w:rsidRDefault="00756D85" w:rsidP="00756D85">
            <w:pPr>
              <w:widowControl/>
              <w:numPr>
                <w:ilvl w:val="0"/>
                <w:numId w:val="3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三級空</w:t>
            </w:r>
            <w:r w:rsidRPr="00F610F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氣汙染防制</w:t>
            </w: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區空氣指標預報達紅色(AQI151)時，捷運公車等大眾運輸免費。</w:t>
            </w:r>
          </w:p>
        </w:tc>
      </w:tr>
      <w:tr w:rsidR="00756D85" w:rsidRPr="00F610FC" w:rsidTr="00EC458B">
        <w:trPr>
          <w:jc w:val="center"/>
        </w:trPr>
        <w:tc>
          <w:tcPr>
            <w:tcW w:w="2765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8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.</w:t>
            </w:r>
            <w:proofErr w:type="gramStart"/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高屏空污</w:t>
            </w:r>
            <w:proofErr w:type="gramEnd"/>
            <w:r w:rsidRPr="00F610FC">
              <w:rPr>
                <w:rFonts w:ascii="新細明體" w:eastAsia="新細明體" w:hAnsi="新細明體" w:cs="新細明體"/>
                <w:b/>
                <w:bCs/>
                <w:kern w:val="0"/>
                <w:sz w:val="20"/>
                <w:szCs w:val="20"/>
              </w:rPr>
              <w:t>總量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管制應達成實質減量</w:t>
            </w:r>
          </w:p>
        </w:tc>
        <w:tc>
          <w:tcPr>
            <w:tcW w:w="7229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4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落實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高屏空污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總量管制計畫，限制高污染產業進駐，2018年啟動之第二</w:t>
            </w:r>
            <w:proofErr w:type="gramStart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期程減量</w:t>
            </w:r>
            <w:proofErr w:type="gramEnd"/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目標，應達實質減量。</w:t>
            </w:r>
          </w:p>
        </w:tc>
      </w:tr>
      <w:tr w:rsidR="00756D85" w:rsidRPr="00F610FC" w:rsidTr="00EC458B">
        <w:trPr>
          <w:jc w:val="center"/>
        </w:trPr>
        <w:tc>
          <w:tcPr>
            <w:tcW w:w="2765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9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.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加嚴管制</w:t>
            </w:r>
            <w:r w:rsidRPr="00F610FC">
              <w:rPr>
                <w:rFonts w:ascii="新細明體" w:eastAsia="新細明體" w:hAnsi="新細明體" w:cs="新細明體"/>
                <w:b/>
                <w:kern w:val="0"/>
                <w:sz w:val="20"/>
                <w:szCs w:val="20"/>
              </w:rPr>
              <w:t>有害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空氣污染物</w:t>
            </w:r>
          </w:p>
        </w:tc>
        <w:tc>
          <w:tcPr>
            <w:tcW w:w="7229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4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有害空氣污染物（HAPs）對人體有致癌、致突變等危害。現行法規未明確定義，管制鬆散，應儘速制定有害空氣污染物管制標準，並加嚴管制。</w:t>
            </w:r>
          </w:p>
        </w:tc>
      </w:tr>
      <w:tr w:rsidR="00756D85" w:rsidRPr="00F610FC" w:rsidTr="00EC458B">
        <w:trPr>
          <w:jc w:val="center"/>
        </w:trPr>
        <w:tc>
          <w:tcPr>
            <w:tcW w:w="2765" w:type="dxa"/>
            <w:shd w:val="clear" w:color="auto" w:fill="auto"/>
          </w:tcPr>
          <w:p w:rsidR="00756D85" w:rsidRPr="00F610FC" w:rsidRDefault="00756D85" w:rsidP="00EC458B">
            <w:pPr>
              <w:widowControl/>
              <w:spacing w:line="40" w:lineRule="atLeast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F610FC">
              <w:rPr>
                <w:rFonts w:ascii="Calibri" w:eastAsia="新細明體" w:hAnsi="Calibri" w:cs="Times New Roman" w:hint="eastAsia"/>
                <w:b/>
                <w:bCs/>
                <w:sz w:val="20"/>
                <w:szCs w:val="20"/>
              </w:rPr>
              <w:t>10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.</w:t>
            </w:r>
            <w:r w:rsidRPr="00F610FC">
              <w:rPr>
                <w:rFonts w:ascii="Calibri" w:eastAsia="新細明體" w:hAnsi="Calibri" w:cs="Times New Roman"/>
                <w:b/>
                <w:bCs/>
                <w:sz w:val="20"/>
                <w:szCs w:val="20"/>
              </w:rPr>
              <w:t>反對高污染、高耗能產業擴張</w:t>
            </w:r>
          </w:p>
        </w:tc>
        <w:tc>
          <w:tcPr>
            <w:tcW w:w="7229" w:type="dxa"/>
            <w:shd w:val="clear" w:color="auto" w:fill="auto"/>
          </w:tcPr>
          <w:p w:rsidR="00756D85" w:rsidRPr="00F610FC" w:rsidRDefault="00756D85" w:rsidP="00756D85">
            <w:pPr>
              <w:widowControl/>
              <w:numPr>
                <w:ilvl w:val="0"/>
                <w:numId w:val="4"/>
              </w:numPr>
              <w:spacing w:line="40" w:lineRule="atLeast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F610FC"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  <w:t>鋼鐵、石化業等高污染高耗能的產業不應擴張，應積極降低污染與能源消耗。</w:t>
            </w:r>
          </w:p>
        </w:tc>
      </w:tr>
    </w:tbl>
    <w:p w:rsidR="00756D85" w:rsidRPr="00F610FC" w:rsidRDefault="00756D85" w:rsidP="00756D85">
      <w:pPr>
        <w:spacing w:line="40" w:lineRule="atLeast"/>
        <w:rPr>
          <w:rFonts w:ascii="Calibri" w:eastAsia="新細明體" w:hAnsi="Calibri" w:cs="Times New Roman"/>
          <w:b/>
          <w:bCs/>
          <w:sz w:val="20"/>
          <w:szCs w:val="20"/>
        </w:rPr>
      </w:pPr>
    </w:p>
    <w:p w:rsidR="00756D85" w:rsidRPr="00F610FC" w:rsidRDefault="00756D85" w:rsidP="00756D85">
      <w:pPr>
        <w:spacing w:line="40" w:lineRule="atLeast"/>
        <w:rPr>
          <w:color w:val="000000"/>
        </w:rPr>
      </w:pPr>
      <w:r w:rsidRPr="00F610FC">
        <w:rPr>
          <w:rFonts w:ascii="Calibri" w:eastAsia="新細明體" w:hAnsi="Calibri" w:cs="Times New Roman" w:hint="eastAsia"/>
          <w:b/>
          <w:bCs/>
          <w:sz w:val="20"/>
          <w:szCs w:val="20"/>
        </w:rPr>
        <w:t>附註：</w:t>
      </w:r>
      <w:r w:rsidRPr="00F610FC">
        <w:rPr>
          <w:rFonts w:ascii="Calibri" w:eastAsia="新細明體" w:hAnsi="Calibri" w:cs="Times New Roman"/>
          <w:b/>
          <w:bCs/>
          <w:sz w:val="20"/>
          <w:szCs w:val="20"/>
        </w:rPr>
        <w:t>以上政策應</w:t>
      </w:r>
      <w:r w:rsidRPr="00F610FC">
        <w:rPr>
          <w:rFonts w:ascii="新細明體" w:eastAsia="新細明體" w:hAnsi="新細明體" w:cs="新細明體"/>
          <w:b/>
          <w:bCs/>
          <w:kern w:val="0"/>
          <w:sz w:val="20"/>
          <w:szCs w:val="20"/>
        </w:rPr>
        <w:t>建立</w:t>
      </w:r>
      <w:r w:rsidRPr="00F610FC">
        <w:rPr>
          <w:rFonts w:ascii="Calibri" w:eastAsia="新細明體" w:hAnsi="Calibri" w:cs="Times New Roman"/>
          <w:b/>
          <w:bCs/>
          <w:sz w:val="20"/>
          <w:szCs w:val="20"/>
        </w:rPr>
        <w:t>資訊公開、民眾參與機制</w:t>
      </w:r>
    </w:p>
    <w:p w:rsidR="00151D59" w:rsidRPr="00756D85" w:rsidRDefault="00151D59"/>
    <w:sectPr w:rsidR="00151D59" w:rsidRPr="00756D85" w:rsidSect="0026037A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84" w:rsidRDefault="008E5B84" w:rsidP="0026037A">
      <w:r>
        <w:separator/>
      </w:r>
    </w:p>
  </w:endnote>
  <w:endnote w:type="continuationSeparator" w:id="0">
    <w:p w:rsidR="008E5B84" w:rsidRDefault="008E5B84" w:rsidP="00260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84" w:rsidRDefault="008E5B84" w:rsidP="0026037A">
      <w:r>
        <w:separator/>
      </w:r>
    </w:p>
  </w:footnote>
  <w:footnote w:type="continuationSeparator" w:id="0">
    <w:p w:rsidR="008E5B84" w:rsidRDefault="008E5B84" w:rsidP="002603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7A" w:rsidRDefault="0026037A">
    <w:pPr>
      <w:pStyle w:val="a3"/>
    </w:pPr>
    <w:r w:rsidRPr="0026037A">
      <w:rPr>
        <w:rFonts w:hint="eastAsia"/>
      </w:rPr>
      <w:drawing>
        <wp:inline distT="0" distB="0" distL="0" distR="0">
          <wp:extent cx="485775" cy="485775"/>
          <wp:effectExtent l="19050" t="0" r="9525" b="0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0x1200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5383">
      <w:rPr>
        <w:rFonts w:hint="eastAsia"/>
        <w:sz w:val="18"/>
        <w:szCs w:val="18"/>
      </w:rPr>
      <w:t>南台灣廢核行動聯盟</w:t>
    </w:r>
    <w:r w:rsidRPr="004B5383">
      <w:rPr>
        <w:rFonts w:hint="eastAsia"/>
        <w:sz w:val="18"/>
        <w:szCs w:val="18"/>
      </w:rPr>
      <w:t xml:space="preserve"> </w:t>
    </w:r>
    <w:r>
      <w:rPr>
        <w:rFonts w:hint="eastAsia"/>
      </w:rPr>
      <w:t xml:space="preserve">                                 </w:t>
    </w:r>
    <w:r w:rsidRPr="004B5383">
      <w:rPr>
        <w:rFonts w:hint="eastAsia"/>
        <w:sz w:val="18"/>
        <w:szCs w:val="18"/>
      </w:rPr>
      <w:t>新聞聯絡人：地球公民基金會主任</w:t>
    </w:r>
    <w:r w:rsidRPr="004B5383">
      <w:rPr>
        <w:rFonts w:hint="eastAsia"/>
        <w:sz w:val="18"/>
        <w:szCs w:val="18"/>
      </w:rPr>
      <w:t xml:space="preserve"> </w:t>
    </w:r>
    <w:r w:rsidRPr="004B5383">
      <w:rPr>
        <w:rFonts w:hint="eastAsia"/>
        <w:sz w:val="18"/>
        <w:szCs w:val="18"/>
      </w:rPr>
      <w:t>蔡卉荀</w:t>
    </w:r>
    <w:r w:rsidRPr="004B5383">
      <w:rPr>
        <w:rFonts w:hint="eastAsia"/>
        <w:sz w:val="18"/>
        <w:szCs w:val="18"/>
      </w:rPr>
      <w:t>0928-792223</w:t>
    </w:r>
  </w:p>
  <w:p w:rsidR="0026037A" w:rsidRDefault="002603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94F"/>
    <w:multiLevelType w:val="hybridMultilevel"/>
    <w:tmpl w:val="C9AC40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D114216"/>
    <w:multiLevelType w:val="hybridMultilevel"/>
    <w:tmpl w:val="283CF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B2849B9"/>
    <w:multiLevelType w:val="hybridMultilevel"/>
    <w:tmpl w:val="DEB66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0E62743"/>
    <w:multiLevelType w:val="hybridMultilevel"/>
    <w:tmpl w:val="6798BD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D85"/>
    <w:rsid w:val="00151D59"/>
    <w:rsid w:val="0026037A"/>
    <w:rsid w:val="002827AC"/>
    <w:rsid w:val="00756D85"/>
    <w:rsid w:val="008E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037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0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037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0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03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Yajing</cp:lastModifiedBy>
  <cp:revision>2</cp:revision>
  <dcterms:created xsi:type="dcterms:W3CDTF">2017-03-02T04:04:00Z</dcterms:created>
  <dcterms:modified xsi:type="dcterms:W3CDTF">2017-03-02T04:38:00Z</dcterms:modified>
</cp:coreProperties>
</file>